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čnostní list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SPS Finess lazura krycí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DEB15406-1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číslo revize : 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datum : 30. 11. 2012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nahrazuje : 11. 10. 2011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 1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. Identifikace LÁTKY a  výrobní spole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čnosti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1.1. Identifikátor výrobku/látky: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Obchodní název: </w:t>
        <w:tab/>
        <w:t xml:space="preserve">SPS Finess lazura krycí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ab/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ůzné barvy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1.2. 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říslušná určená použití výrobku a nedoporučená použití: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ůmyslová, ochranná a dekorativní barva.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Nedoporu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čená použití: nepoužívat na hračky a předměty, přicházejí do styku s potravinami.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1.3. Podrobné údaje o výrobci a dodavateli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čnostního listu: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Výrobce: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S.P.S. BV, Zilverenberg 16, 5234 GM s-Hertogenbosch, Nederland</w:t>
      </w:r>
    </w:p>
    <w:p>
      <w:pPr>
        <w:tabs>
          <w:tab w:val="left" w:pos="4536" w:leader="none"/>
          <w:tab w:val="left" w:pos="9072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Tel:  +31 736422710    </w:t>
        <w:tab/>
        <w:t xml:space="preserve">Fax: +31 736426095,   </w:t>
      </w:r>
    </w:p>
    <w:p>
      <w:pPr>
        <w:tabs>
          <w:tab w:val="left" w:pos="4536" w:leader="none"/>
          <w:tab w:val="left" w:pos="9072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e-mail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16"/>
            <w:u w:val="single"/>
            <w:shd w:fill="auto" w:val="clear"/>
          </w:rPr>
          <w:t xml:space="preserve">info@spsbv.com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</w:t>
        <w:tab/>
        <w:t xml:space="preserve">Http: www.spsbv.com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Dovozce do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ČR: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Systém vodovody a kanalizace, s. r. o., Kubelíkova 1224/42, 130 00 Praha 3 - Žižkov, DIČ: CZ25161598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FFFFFF" w:val="clear"/>
        </w:rPr>
        <w:tab/>
        <w:t xml:space="preserve">provozovna Nádražní 218, 378 42 Nová V</w:t>
      </w:r>
      <w:r>
        <w:rPr>
          <w:rFonts w:ascii="Arial" w:hAnsi="Arial" w:cs="Arial" w:eastAsia="Arial"/>
          <w:color w:val="000000"/>
          <w:spacing w:val="0"/>
          <w:position w:val="0"/>
          <w:sz w:val="15"/>
          <w:shd w:fill="FFFFFF" w:val="clear"/>
        </w:rPr>
        <w:t xml:space="preserve">čelnice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1.4. Telefonní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číslo pro naléhavé situace: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Toxikologické informa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ční středisko,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Na Bojišti 1, 128 08 Praha 2      Tel: 224 919 293 nebo 224 915 402  -  k dispozici nepřetržitě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Holandské národní informa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ční centrum +31 302748888 -  k dispozici nepřetržitě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Identifikace NEBEZPE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ČNOSTI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2.1. Klasifikace látky podle sm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ěrnice 67/548/ES nebo 1999/45/ES:  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Dráždivý. Hořlavý.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Nejzávažn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ější nepříznivé fyzikálně-chemické účinky, nepříznivé účinky na zdraví člověka a na životní prostředí: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R 10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řlavý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R 51/53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Toxický pro vodní organismy,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vyvolat dlouhodobé nepříznivé účinky ve vodním prostředí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R 66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Opakovaná expozice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vysušení nebo popraskání kůže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R 67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Vdechování par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ospalost a závratě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Seznam a plné zn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ění použitých R vět a S vět je uveden v odd. 16.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2.2. Prvky ozna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čení: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Klasifikace a zna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čení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podle směrnice 1272/2008 ES ještě nebylo provedeno.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Symboly: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žádný - zna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čení podle směrnice 1272/2008 ES ještě nebylo provedeno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Standardní v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ěty o nebezpečnosti - R věty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R10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řlavý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R 51/53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Toxický pro vodní organismy, ve vodách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mít dlouhodobě škodlivé účinky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R66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Opakovaná expozice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vysušení nebo popraskání kůže.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R67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Vdechování par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ospalost a závratě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Pokyny pro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čné zacházení - S věty</w:t>
      </w:r>
    </w:p>
    <w:p>
      <w:pPr>
        <w:tabs>
          <w:tab w:val="left" w:pos="993" w:leader="none"/>
          <w:tab w:val="left" w:pos="15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S2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Uchovávejte mimo dosah 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ětí.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S24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Vyvarovat se dotyku s pokožkou.</w:t>
      </w:r>
    </w:p>
    <w:p>
      <w:pPr>
        <w:tabs>
          <w:tab w:val="left" w:pos="993" w:leader="none"/>
          <w:tab w:val="left" w:pos="15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S46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polknutí okamžitě vyhledat lékařskou pomoc a předložit obal nebo etiketu</w:t>
      </w:r>
    </w:p>
    <w:p>
      <w:pPr>
        <w:tabs>
          <w:tab w:val="left" w:pos="993" w:leader="none"/>
          <w:tab w:val="left" w:pos="15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S51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Používat jen v dob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 větraných prostorech</w:t>
      </w:r>
    </w:p>
    <w:p>
      <w:pPr>
        <w:tabs>
          <w:tab w:val="left" w:pos="993" w:leader="none"/>
          <w:tab w:val="left" w:pos="15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S56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Produkt a obaly musí být likvidovány v souladu s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ředpisy o nebezpečných odpadech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Seznam a plné zn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ění použitých R vět a S vět je uveden v odd. 16.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čné složky, které musí být uvedeny na etiketě: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2-Butanonoxim - Kobalt carboxylate  - 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vyvolat alergické reakce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Hmatatelná výstraha pro nevidomé na obalu ur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čeném k prodeji spotřebiteli: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ano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2.3. Další údaje o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Další 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 za normálních okolností nejsou.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3.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Složení NEBO informace o složkách: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3.1. Složení: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tento produkt je definován jako sm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3.2. Klasifikace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čných složek dle směrnice 67/548/EHS: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70" w:type="dxa"/>
      </w:tblPr>
      <w:tblGrid>
        <w:gridCol w:w="1980"/>
        <w:gridCol w:w="714"/>
        <w:gridCol w:w="1417"/>
        <w:gridCol w:w="1134"/>
        <w:gridCol w:w="1134"/>
        <w:gridCol w:w="1701"/>
        <w:gridCol w:w="1843"/>
      </w:tblGrid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Název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nebezpe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čné látky</w:t>
            </w: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Obsah v %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Číslo CAS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Číslo EINECS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EG Index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REACH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Symboly a R - 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ěty</w:t>
            </w:r>
          </w:p>
        </w:tc>
      </w:tr>
      <w:tr>
        <w:trPr>
          <w:trHeight w:val="567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2-Butanonoxim</w:t>
            </w: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MS Shell Dlg 2" w:hAnsi="MS Shell Dlg 2" w:cs="MS Shell Dlg 2" w:eastAsia="MS Shell Dlg 2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&lt;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96-29-7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202-496-6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616-014-00-0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01-2119539477-28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Xn, R22, R43,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N, R51/53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H312,H317,H318,H351</w:t>
            </w:r>
          </w:p>
        </w:tc>
      </w:tr>
      <w:tr>
        <w:trPr>
          <w:trHeight w:val="567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Cobalt carboxylate</w:t>
            </w: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&lt; 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68409-81-4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270-066-5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Xn, R22, R43,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N, R51/53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GHS nedefinováno</w:t>
            </w:r>
          </w:p>
        </w:tc>
      </w:tr>
      <w:tr>
        <w:trPr>
          <w:trHeight w:val="567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Uhlovodíky C9-C11,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n-Alkany, iso-alkany, cyklické, 2÷25% aromát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 ÷ 25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919-446-0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01-2119458049-33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Xn, R10,R65,R66,R67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N, R51/53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H066,H226,H304,H411</w:t>
            </w:r>
          </w:p>
        </w:tc>
      </w:tr>
      <w:tr>
        <w:trPr>
          <w:trHeight w:val="567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Uhlovodíky C9-C11,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n-Alkany, iso-alkany, cyklické, &lt; 2% aromát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 ÷ 25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64742-48-9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919-857-5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649-327-00-6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01-2119463258-33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Xn, R10,R65,R66,R67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H066,H226,H304, H336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4. POKYNY PRO PRVNÍ POMOC: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4.1. První pomoc obecn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Projeví-li se zdravotní potíže nebo v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řípadě pochybností a při náhodném požití a zasažení očí vždy vyhledejte lékaře a poskytněte mu informace z tohoto bezpečnostního listu.</w:t>
      </w:r>
    </w:p>
    <w:p>
      <w:pPr>
        <w:tabs>
          <w:tab w:val="left" w:pos="15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ři nadýchání: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zajistit přívod čerstvého vzduchu, zajistit klid, zabránit podchlazení. Při nepravidelném dýchání nebo zástavě dechu </w:t>
        <w:tab/>
        <w:t xml:space="preserve">provádět umělé dýchání. Nic nepodávat ústy.</w:t>
      </w:r>
    </w:p>
    <w:p>
      <w:pPr>
        <w:tabs>
          <w:tab w:val="left" w:pos="15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ři zasažení kůže: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odložit kontaminovaný oděv, kůži omýt mýdlem nebo jiným vhodným prostředkem a velkým množstvím vody. </w:t>
        <w:tab/>
        <w:t xml:space="preserve">Nepoužívat žádná čistidla nebo ředidla.</w:t>
      </w:r>
    </w:p>
    <w:p>
      <w:pPr>
        <w:tabs>
          <w:tab w:val="left" w:pos="15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ři požití: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ihned konzultovat s lékařem, zajistit klid,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nevyvolávat zvracení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tabs>
          <w:tab w:val="left" w:pos="15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ři zasažení očí: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vyjmout kontaktní čočky, držet široce otevřená víčka, vyplachovat 10 až 15 minut tekoucí čistou vodou, konzultovat </w:t>
        <w:tab/>
        <w:t xml:space="preserve">s lékařem.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4.2. Nejd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ůležitější akutní a opožděné symptomy a účinky: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známé žádné informace o akutních nebo pozd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ěji se objevivších symptomech a účincích po expozici.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4.3. Pokyn týkající se okamžité léka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řské pomoci a zvláštního ošetření: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řípadech pochybností nebo při výskytu symptomů konzultovat s lékařem.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bezvědomí nepodávat nic ústy.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bezvědomí uvést do stabilizované polohy a konzultovat s lékařem.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5.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ŘENÍ PRO ZDOLÁVÁNÍ POŽÁRU: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  <w:tab w:val="left" w:pos="184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5.1.</w:t>
        <w:tab/>
        <w:t xml:space="preserve"> Vhodná hasiva: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prášek, CO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  <w:vertAlign w:val="subscript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ěna odolná alkoholu, vodní mlha.  </w:t>
      </w:r>
    </w:p>
    <w:p>
      <w:pPr>
        <w:tabs>
          <w:tab w:val="left" w:pos="284" w:leader="none"/>
          <w:tab w:val="left" w:pos="184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ab/>
        <w:t xml:space="preserve"> Nevhodná hasiva: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plný vodní proud.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5.2. Zvláštní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Při nedokonalém spalování vzniká hustý černý kouř, oxid uhelnatý, oxid uhličitý a další toxické plyny. Vdechnutí nebezpečných produktů rozkladu může způsobit vážné zdravotní škody. V případě potřeby použít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izolační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dýchací přístroj.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5.3. Pokyny pro hasi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če: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Uzavřené nádoby v blízkosti požáru chladit proudem vody. Zamezit úniku použitých hasících prostředků do vodních zdrojů nebo do kanalizace.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Opat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ření v případě náhodného Úniku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6.1.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ření na ochranu osob, ochranné prostředky a nouzové postupy: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nevdechovat výpary, zamezit styku s kůží a očima. Použít vhodný ochranný oděv, rukavice, ochranné brýle a vhodné vybavení k ochraně dýchacích orgánů proti oxidu uhelnatému. Vyloučit všechny možné zdroje zapálení. Zákaz kouření a zacházení s otevřeným ohněm.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6.2. 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ření na ochranu životního prostředí: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zamezit úniku do životního prostředí, a do kanalizace. Při úniku do životního prostředí nebo do kanalizace vyrozumět příslušné úřady.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6.3. Metody a materiál pro omezení úniku a pro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čištění: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zabránit roztékání ohrazením nehořlavým materiálem (písek, hlína), mechanicky sebrat, zbytek nechat vsáknout do vhodného nehořlavého sorbentu (vapex, písek, hlína, vermikulite) a uložit v kontejneru pro likvidaci (viz odd. 13). Znečištěný terén vyčistit pomocí čisticích prostředků, nepoužívat ředidla.</w:t>
      </w:r>
    </w:p>
    <w:p>
      <w:pPr>
        <w:tabs>
          <w:tab w:val="left" w:pos="212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12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6.4. Odkaz na jiné oddíly: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Informace pro 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čnou manipulaci viz oddíl 7. </w:t>
      </w:r>
    </w:p>
    <w:p>
      <w:pPr>
        <w:tabs>
          <w:tab w:val="left" w:pos="212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Informace k osobním ochranným prost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ředkům viz oddíl 8.</w:t>
      </w:r>
    </w:p>
    <w:p>
      <w:pPr>
        <w:tabs>
          <w:tab w:val="left" w:pos="212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Informace pro likvidaci viz oddíl 13.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7.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zacházení a skladování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7.1.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ření pro bezpečné zacházení: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Vzniklé páry jsou těžší než vzduch, drží se při zemi a vyplňují prohlubně. Se vzduchem tvoří výbušnou směs.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Zamezit vzniku výbušné koncentrace par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ředidel se vzduchem a překročení povolené koncentrace par v pracovním prostředí. Používat nářadí v nejiskřivé úpravě. Materiál se může elektrostaticky nabít - při přemísťování z jedné nádrže do druhé používat výhradně kovová uzemněná potrubí. Nádoby uchovávat těsně uzavřené. Používat pouze v dobře odvětraných prostorách se zajištěným přívodem čerstvého vzduchu. Dodržovat veškerá protipožární opatření (zákaz kouření, zákaz práce s otevřeným plamenem, odstranění všech možných zdrojů zapálení). Zamezit vdechování výparů, stříkací mlhy a brusného prachu, zamezit styku s kůží a očima. Používat antistatický ochranný oděv a obuv, ochranné rukavice, ochranné brýle a vhodný filtr na dýchání. Při práci ani ve skladovacích prostorech nejíst, nepít, nekouřit.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Nádrže nevyprazd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ňovat pomocí tlaku - nejsou to žádné tlakové nádrže.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ůležité upozornění: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Produktem zne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čištěné materiály např. čisticí textil nebo papírové ubrousky a ochranné oblečení se mohou po několika hodinách spontánně samy vznítit. Proto je nutné uchovávat je mimo pracoviště, v těsně uzavřených kovových nádobách, nejlépe nasáklé vodou. Je možno také sušit je v jedné vrstvě rozprostřené naplocho.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ůležité upozornění: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Při práci s látkami a přípravky s obsahem organických rozpouštědel nepoužívat kontaktní čočky.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7.2. Podmínky pro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čné skladování látek a směsí včetně neslučitelných látek a směsí: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Skladovat v uzav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řených obalech, v suchých větraných prostorech v rozmezí teplot 5 až 30°C podle ČSN 65 0201, chráněné před sálavým teplem a přímým slunečním zářením.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Produkt nesmí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řijít do styku se silnými oxidačními činidly, alkáliemi a kyselinami.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Skladovat mimo dosah potravin, nápoj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ů, krmiv a zdrojů zapálení (otevřený oheň, jiskry, horké plochy).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Uchovávat v originálních, dob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 uzavřených nádobách. Ukládat uzávěrem nahoře, a tím zamezit jakémukoliv úniku.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Zamezit vstupu nepovolaným osobám.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7.3. Specifické kone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čné použití: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Není uvedeno.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8. OMEZOVÁNÍ EXPOZICE /OSOBNÍ OCHRANNÉ PROST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ŘEDKY: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Zajistit dostate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čné větrání pomocí lokálního nebo prostorového odsávání. V případě, že odsávání nestačí zajistit příslušné limity, musí se použít přístroj na ochranu dýchacích cest.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8.1. Kontrolní parametry: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řípustné expoziční limity (PEL) a nejvyšší přípustné koncentrace (NPK-P) chemických látek v pracovním ovzduší podle nařízení vlády č. 361/2007 Sb.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</w:t>
      </w:r>
    </w:p>
    <w:tbl>
      <w:tblPr>
        <w:tblInd w:w="108" w:type="dxa"/>
      </w:tblPr>
      <w:tblGrid>
        <w:gridCol w:w="3544"/>
        <w:gridCol w:w="1709"/>
        <w:gridCol w:w="1843"/>
        <w:gridCol w:w="1985"/>
      </w:tblGrid>
      <w:tr>
        <w:trPr>
          <w:trHeight w:val="340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látka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CAS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PEL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[mg/m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3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]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NPK-P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[mg/m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3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]</w:t>
            </w:r>
          </w:p>
        </w:tc>
      </w:tr>
      <w:tr>
        <w:trPr>
          <w:trHeight w:val="292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2-Butanonoxim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96-29-7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900</w:t>
            </w:r>
          </w:p>
        </w:tc>
      </w:tr>
      <w:tr>
        <w:trPr>
          <w:trHeight w:val="268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Cobalt carboxylate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68409-81-4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0,05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0,1</w:t>
            </w:r>
          </w:p>
        </w:tc>
      </w:tr>
      <w:tr>
        <w:trPr>
          <w:trHeight w:val="454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Uhlovodíky C9-C11,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n-Alkany, iso-alkany, cyklické, 2÷25% aromát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Uhlovodíky C9-C11,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n-Alkany, iso-alkany, cyklické, &lt; 2% aromát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64742-48-9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1200</w:t>
            </w: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T92Fo00" w:hAnsi="TT92Fo00" w:cs="TT92Fo00" w:eastAsia="TT92Fo00"/>
                <w:color w:val="auto"/>
                <w:spacing w:val="0"/>
                <w:position w:val="0"/>
                <w:sz w:val="14"/>
                <w:shd w:fill="auto" w:val="clear"/>
              </w:rPr>
              <w:t xml:space="preserve">doporu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č</w:t>
            </w:r>
            <w:r>
              <w:rPr>
                <w:rFonts w:ascii="TT92Fo00" w:hAnsi="TT92Fo00" w:cs="TT92Fo00" w:eastAsia="TT92Fo00"/>
                <w:color w:val="auto"/>
                <w:spacing w:val="0"/>
                <w:position w:val="0"/>
                <w:sz w:val="14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í</w:t>
            </w:r>
            <w:r>
              <w:rPr>
                <w:rFonts w:ascii="TT92Fo00" w:hAnsi="TT92Fo00" w:cs="TT92Fo00" w:eastAsia="TT92Fo00"/>
                <w:color w:val="auto"/>
                <w:spacing w:val="0"/>
                <w:position w:val="0"/>
                <w:sz w:val="14"/>
                <w:shd w:fill="auto" w:val="clear"/>
              </w:rPr>
              <w:t xml:space="preserve"> CLH 2010 dokumentu - 116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8.2. Omezování expozice: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Dodržovat všeobecná 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čnostní a hygienická opatření. Při práci nejíst, nepít, nekouřit. Před pracovní přestávkou a po práci umýt ruce teplou vodou a mýdlem, ošetřit ochranným krémem.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8.2.1. Individuální ochranná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ření včetně osobních ochranných pracovních prostředků: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Ochrana o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čí a obličeje: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uzavřené ochranné brýle nebo obličejový štít odolné proti organickým rozpouštědlům. 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Ochrana k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ůže: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pracovní oděv s antistatickou úpravou.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Ochrana rukou: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ochranné rukavice odolné proti organickým rozpoušt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ědlům (nitril, neopren).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Ochrana dýchacích cest: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možnosti nadýchání par nebo aerosolu použít polomasku s filtrem proti organickým látkám.   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Plochy pokožky, které se mohou dostat do kontaktu s produktem by m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ěly být opatřeny ochranným krémem.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8.2.2. Omezování expozice životního prost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ředí: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Dodržovat podmínky manipulace a skladování. Nevypoušt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ět do kanalizace, vodních toků nebo půdy.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9. FYZIKÁLNÍ A CHEMICKÉ VLASTNOSTI: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9.1. Informace o základních fyzikálních a chemických vlastnostech: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Vzhled a skupenství: </w:t>
        <w:tab/>
        <w:t xml:space="preserve">viskózní kapalina                                                                                                               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Barva: </w:t>
        <w:tab/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ůzné barevné odstíny 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Zápach:</w:t>
        <w:tab/>
        <w:t xml:space="preserve">charakteristický (White spirit)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Prahová hodnota zápachu: </w:t>
        <w:tab/>
        <w:t xml:space="preserve">informace není k dispozici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pH: </w:t>
        <w:tab/>
        <w:t xml:space="preserve">informace není k dispozici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Bod tuhnutí: </w:t>
        <w:tab/>
        <w:t xml:space="preserve">informace není k dispozici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Bod tání: </w:t>
        <w:tab/>
        <w:t xml:space="preserve">informace není k dispozici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Bod varu (rozmezí): </w:t>
        <w:tab/>
        <w:t xml:space="preserve">100 ÷ 200</w:t>
        <w:tab/>
        <w:t xml:space="preserve">°C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Bod vzplanutí:  </w:t>
        <w:tab/>
        <w:t xml:space="preserve">&gt;30</w:t>
        <w:tab/>
        <w:t xml:space="preserve">°C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Rychlost odpa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řování:  </w:t>
        <w:tab/>
        <w:t xml:space="preserve">informace není k dispozici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řlavost: </w:t>
        <w:tab/>
        <w:t xml:space="preserve">hořlavá kapalina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Teplota vznícení (°C):  </w:t>
        <w:tab/>
        <w:t xml:space="preserve">informace není k dispozici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Tlak par (20°C): </w:t>
        <w:tab/>
        <w:t xml:space="preserve">&lt; 5</w:t>
        <w:tab/>
        <w:t xml:space="preserve">hPa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Hustota par: 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ěžší než vzduch 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Dolní mez výbušnosti: </w:t>
        <w:tab/>
        <w:t xml:space="preserve">0,6</w:t>
        <w:tab/>
        <w:t xml:space="preserve">% obj.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Horní mez výbušnosti: </w:t>
        <w:tab/>
        <w:t xml:space="preserve">8</w:t>
        <w:tab/>
        <w:t xml:space="preserve">% obj.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Hustota:  </w:t>
        <w:tab/>
        <w:t xml:space="preserve">1150 ÷ 1250</w:t>
        <w:tab/>
        <w:t xml:space="preserve">kg/m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  <w:vertAlign w:val="superscript"/>
        </w:rPr>
        <w:t xml:space="preserve">3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Rozpustnost ve vod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ě: </w:t>
        <w:tab/>
        <w:t xml:space="preserve">nevýznamná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Oxida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ční vlastnosti: </w:t>
        <w:tab/>
        <w:t xml:space="preserve">informace není k dispozici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Rozd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ělovací koeficient n-oktanol/voda: </w:t>
        <w:tab/>
        <w:t xml:space="preserve">informace není k dispozici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Viskozita (20°C)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 ÷ 9</w:t>
        <w:tab/>
        <w:t xml:space="preserve">Poise</w:t>
      </w:r>
    </w:p>
    <w:p>
      <w:pPr>
        <w:tabs>
          <w:tab w:val="left" w:pos="3119" w:leader="none"/>
          <w:tab w:val="left" w:pos="510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Termický rozklad: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působení horka se může objevit rozpad a uvolňování plynů, viz odd. 10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9.2. Další informace: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řlavá kapalina II. třídy nebezpečnosti.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10. STÁLOST A REAKTIVITA: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10.1. Reaktivita: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Žádné 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čné reakce nejsou známy.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10.2. Chemická stabilita: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předepsaném způsobu skladování a manipulace je produkt stabilní, viz odd. 7. Produkt je těkavý a odpařuje se i za normální teploty a tlaku. Páry tvoří se vzduchem výbušnou směs.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10.3. Možnost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čných reakcí: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kontaktu s oxidačními činidly, alkáliemi a kyselinami může dojít k exotermní reakci.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10.4. Podmínky, kterým je 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řeba zabránit: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Styk se zdroji zapálení,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ředměty o vysoké teplotě, vysoké teploty, sálavé teplo a přímé sluneční paprsky.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10.5. Neslu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čitelné materiály: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Neskladujte spole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čně s potravinami, nápoji a krmivy.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10.6.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čné produkty rozkladu: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Podle okolností dochází ke vzniku oxid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 uhlíku (CO, CO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), oxidů dusíku (NOx), sazí a dalších toxických zplodin.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11. TOXIKOLOGICKÉ INFORMACE: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 produktu jako sm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ěsi nejsou k dispozici žádné údaje. Směs byla posuzována a zařazena podle konvenční metody Směrnice 1999/45/ES v souladu s toxikologickými nebezpečími. Podrobnosti viz oddíly 2 a 3.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11.1. Informace o toxikologických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čincích:</w:t>
      </w:r>
    </w:p>
    <w:p>
      <w:pPr>
        <w:spacing w:before="0" w:after="0" w:line="240"/>
        <w:ind w:right="0" w:left="0" w:hanging="12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Dýchání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ředidel nad přípustnou koncentrací a pronikání pokožkou může vést ke zdravotním škodám, např. podráždění sliznic a dýchacích orgánů, poškození jater, ledvin a centrálního nervového systému. Příznaky intoxikace jsou bolesti hlavy, závratě, únava, slabost svalů, ospalost a v těžkých případech bezvědomí.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Dochází k absorpci pokožkou. Delší nebo opakovaný kontakt s produktem vede k odmašt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ění pokožky a může způsobit nealergické poškození pokožky (kontaktní dermatitis).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Páry a aerosol mohou zp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ůsobit podráždění a nevratné škody na očích.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Obsahuje 2-butanonoxim- kobalt carboxylate.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alergickou reakci.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tabs>
          <w:tab w:val="left" w:pos="43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Akutní toxicita: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Nejsou k dispozici žádné informace.</w:t>
      </w:r>
    </w:p>
    <w:p>
      <w:pPr>
        <w:tabs>
          <w:tab w:val="left" w:pos="4395" w:leader="none"/>
        </w:tabs>
        <w:spacing w:before="0" w:after="0" w:line="240"/>
        <w:ind w:right="0" w:left="0" w:hanging="12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Žíravost / dráždivost pro k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ůži: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</w:t>
      </w:r>
    </w:p>
    <w:p>
      <w:pPr>
        <w:tabs>
          <w:tab w:val="left" w:pos="43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Poškození / podrážd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ění očí: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Způsobuje vážné podráždění a nevratné poškození očí.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Senzibilizace dýchacích cest/ senzibilizace kůže: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Nejsou k dispozici žádné informace.</w:t>
      </w:r>
    </w:p>
    <w:p>
      <w:pPr>
        <w:tabs>
          <w:tab w:val="left" w:pos="4395" w:leader="none"/>
        </w:tabs>
        <w:spacing w:before="0" w:after="0" w:line="240"/>
        <w:ind w:right="0" w:left="0" w:hanging="12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Karcinogenita: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</w:t>
      </w:r>
    </w:p>
    <w:p>
      <w:pPr>
        <w:tabs>
          <w:tab w:val="left" w:pos="4395" w:leader="none"/>
        </w:tabs>
        <w:spacing w:before="0" w:after="0" w:line="240"/>
        <w:ind w:right="0" w:left="0" w:hanging="12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Mutagenita: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</w:t>
      </w:r>
    </w:p>
    <w:p>
      <w:pPr>
        <w:tabs>
          <w:tab w:val="left" w:pos="43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Toxicita pro reprodukci: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</w:t>
      </w:r>
    </w:p>
    <w:p>
      <w:pPr>
        <w:tabs>
          <w:tab w:val="left" w:pos="43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Toxicita pro spec. cílové orgány/ jednorázová expozice: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</w:t>
      </w:r>
    </w:p>
    <w:p>
      <w:pPr>
        <w:tabs>
          <w:tab w:val="left" w:pos="4395" w:leader="none"/>
        </w:tabs>
        <w:spacing w:before="0" w:after="0" w:line="240"/>
        <w:ind w:right="0" w:left="0" w:hanging="12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Toxicita pro spec. cílové orgány/ opakovaná expozice: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poškodit játra, ledviny a centrální nervový systém.</w:t>
      </w:r>
    </w:p>
    <w:p>
      <w:pPr>
        <w:tabs>
          <w:tab w:val="left" w:pos="4395" w:leader="none"/>
        </w:tabs>
        <w:spacing w:before="0" w:after="0" w:line="240"/>
        <w:ind w:right="0" w:left="0" w:hanging="12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 při vdechnutí: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Může způsobit podráždění dýchacích cest a plic.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12. Ekologické informace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FFFFFF" w:val="clear"/>
        </w:rPr>
        <w:t xml:space="preserve">: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ěs byla posuzována a zařazena podle konvenční metody Směrnice 1999/45/ES jako nebezpečná pro životní prostředí, viz odd. 2 a 3.</w:t>
      </w:r>
    </w:p>
    <w:p>
      <w:pPr>
        <w:tabs>
          <w:tab w:val="left" w:pos="269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Ekotoxicita: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ředpokládají se dlouhodobě škodlivé účinky ve vodách a pro vodní organismy. </w:t>
      </w:r>
    </w:p>
    <w:p>
      <w:pPr>
        <w:tabs>
          <w:tab w:val="left" w:pos="2694" w:leader="none"/>
        </w:tabs>
        <w:spacing w:before="0" w:after="0" w:line="240"/>
        <w:ind w:right="0" w:left="2127" w:hanging="2127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Perzistence a rozložitelnost: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</w:t>
      </w:r>
    </w:p>
    <w:p>
      <w:pPr>
        <w:tabs>
          <w:tab w:val="left" w:pos="2694" w:leader="none"/>
        </w:tabs>
        <w:spacing w:before="0" w:after="0" w:line="240"/>
        <w:ind w:right="0" w:left="2127" w:hanging="2127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Bioakumula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ční potenciál: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ab/>
        <w:t xml:space="preserve">Nejsou k dispozici žádné informace.</w:t>
      </w:r>
    </w:p>
    <w:p>
      <w:pPr>
        <w:tabs>
          <w:tab w:val="left" w:pos="269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Mobilita v 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ůdě: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 </w:t>
      </w:r>
    </w:p>
    <w:p>
      <w:pPr>
        <w:tabs>
          <w:tab w:val="left" w:pos="269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Výsledky posouzení PBT a vPvB: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produkt není PBT nebo vPvB substancí, ani tyto látky neobsahuje.</w:t>
      </w:r>
    </w:p>
    <w:p>
      <w:pPr>
        <w:tabs>
          <w:tab w:val="left" w:pos="4536" w:leader="none"/>
          <w:tab w:val="left" w:pos="9072" w:leader="none"/>
          <w:tab w:val="left" w:pos="269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Jiné nep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říznivé účinky: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</w:t>
      </w:r>
    </w:p>
    <w:p>
      <w:pPr>
        <w:tabs>
          <w:tab w:val="left" w:pos="2694" w:leader="none"/>
        </w:tabs>
        <w:spacing w:before="0" w:after="0" w:line="240"/>
        <w:ind w:right="0" w:left="2127" w:hanging="2127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ři úniku do půdy, vodního prostředí nebo kanalizace uvědomit příslušné úřady.</w:t>
      </w:r>
    </w:p>
    <w:p>
      <w:pPr>
        <w:spacing w:before="0" w:after="0" w:line="240"/>
        <w:ind w:right="0" w:left="2127" w:hanging="2127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13. POKYNY K LIKVIDACI: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Zamezit úniku produktu do kanalizace a vodního prost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ředí. Produkt a obaly likvidovat jako nebezpečný odpad.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13.1. Informace o za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řazení podle katalogu odpadů: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skupina odpad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08 - Odpady z výroby, zpracování a používání nátěrových hmot (barev, laků a smaltů), lepidel, a tiskařských barev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08 01 11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Odpadní barvy a laky obsahující organická rozpoušt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ědla nebo jiné nebezpečné látky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15 01 10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Obaly obsahující zbytky 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čných látek nebo obaly těmito látkami znečištěné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Složka, která dle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řílohy č. 5 zákona 185/2001 Sb. činí odpad nebezpečným: C 41 organická rozpouštědla, s výjimkou halogenovaných.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14. INFORMACE PRO 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ŘEPRAVU:</w:t>
      </w:r>
    </w:p>
    <w:p>
      <w:pPr>
        <w:spacing w:before="4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Pojmenování a ozna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čení podle evropské dohody o přepravě nebezpečného zboží RID/ADR. </w:t>
      </w:r>
    </w:p>
    <w:p>
      <w:pPr>
        <w:tabs>
          <w:tab w:val="left" w:pos="3686" w:leader="none"/>
        </w:tabs>
        <w:spacing w:before="120" w:after="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14.1. 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Číslo UN: </w:t>
        <w:tab/>
        <w:t xml:space="preserve">1263</w:t>
      </w:r>
    </w:p>
    <w:p>
      <w:pPr>
        <w:tabs>
          <w:tab w:val="left" w:pos="3686" w:leader="none"/>
        </w:tabs>
        <w:spacing w:before="120" w:after="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14.2. Náležitý název UN pro zásilku: </w:t>
        <w:tab/>
        <w:t xml:space="preserve">BARVA</w:t>
      </w:r>
    </w:p>
    <w:p>
      <w:pPr>
        <w:tabs>
          <w:tab w:val="left" w:pos="3686" w:leader="none"/>
        </w:tabs>
        <w:spacing w:before="120" w:after="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14.3. T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řída/třídy nebezpečnosti pro přepravu: </w:t>
      </w:r>
    </w:p>
    <w:p>
      <w:pPr>
        <w:tabs>
          <w:tab w:val="left" w:pos="368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object w:dxaOrig="1477" w:dyaOrig="1377">
          <v:rect xmlns:o="urn:schemas-microsoft-com:office:office" xmlns:v="urn:schemas-microsoft-com:vml" id="rectole0000000000" style="width:73.850000pt;height:68.8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Bezpe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čnostní značka: 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3 - HOŘLAVÁ KAPALINA</w:t>
      </w:r>
    </w:p>
    <w:p>
      <w:pPr>
        <w:tabs>
          <w:tab w:val="left" w:pos="368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8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ADR 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řída: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3</w:t>
      </w:r>
    </w:p>
    <w:p>
      <w:pPr>
        <w:tabs>
          <w:tab w:val="left" w:pos="368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Identifika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ční číslo nebezpečnosti (Kemler): 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30</w:t>
      </w:r>
    </w:p>
    <w:p>
      <w:pPr>
        <w:tabs>
          <w:tab w:val="left" w:pos="3686" w:leader="none"/>
        </w:tabs>
        <w:spacing w:before="60" w:after="4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14.4. Obalová skupina:</w:t>
        <w:tab/>
        <w:t xml:space="preserve">III</w:t>
      </w:r>
    </w:p>
    <w:p>
      <w:pPr>
        <w:tabs>
          <w:tab w:val="left" w:pos="3686" w:leader="none"/>
        </w:tabs>
        <w:spacing w:before="60" w:after="4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86" w:leader="none"/>
        </w:tabs>
        <w:spacing w:before="6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14.5. Nebezpe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čnost pro životní prostředí: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Toxický pro vodní organismy, může vyvolat dlouhodobé nepříznivé účinky ve vodním prostředí</w:t>
      </w:r>
    </w:p>
    <w:p>
      <w:pPr>
        <w:tabs>
          <w:tab w:val="left" w:pos="3686" w:leader="none"/>
        </w:tabs>
        <w:spacing w:before="6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14.6. Zvláštní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čnostní opatření pro uživatele: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Omezené množství dle ADR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čl. 2.2.3.1.5: balení menší než 450 litrů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řepravovat vždy v uzavřených, zpříma stojících a bezpečných obalech. Ubezpečit se, že osoby, které produkt přepravují, jsou poučeny o opatřeních v případě nehody nebo úniku.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Nouzové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ření při nehodě: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zastavit motor, zabezpečit silnici, vyloučit otevřený oheň, zákaz kouření, nepovolané osoby držet mimo dosah.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14.7. Hromadná 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řeprava podle přílohy II MARPOL 73/78 a předpisu IBC: 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Neaplikovatelné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15. INFORMACE O PRÁVNÍCH 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ŘEDPISECH: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15.1. Na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řízení týkající se bezpečnosti, zdraví a životního prostředí/specifické právní předpisy týkající se látky nebo směsi: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řízení Evropského parlamentu a Rady č. 1907/2006/ES  o registraci, hodnocení, povolování a omezování chemických látek.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řízení Evropského parlamentu a Rady č. 1272/2008/ES  o klasifikaci, označování a balení látek a směsí.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Zákon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č. 350/2011 Sb. o chemických látkách a chemických směsích. ▪  Vyhláška č. 402/2011 Sb. o hodnocení nebezpečných vlastností chemických látek a chemických směsí a balení a označování nebezpečných chemických směsí. ▪ Zákon č. 185/2001 Sb. o odpadech. ▪  Vyhláška č. 381/2001 Sb. Katalog odpadů.▪ Vyhláška č.383//2001 Sb., o podrobnostech nakládání s odpady ▪ Zákon č. 258/2000 Sb. o veřejném zdraví ▪ Nařízení vlády č. 93/2012 Sb., kterým se stanoví podmínky ochrany zdraví při práci ▪ Vyhláška č. 432/2003 Sb., kterou se stanoví podmínky pro zařazování prací do kategorií, limitní hodnoty ukazatelů biologických expozičních testů a náležitosti hlášení prací s azbestem a biologickými činiteli. ▪ Zákon č. 201/2012 Sb. o ochraně ovzduší ▪ Vyhláška č. 415/2012 Sb. o přípustné úrovni znečišťování a jejím zjišťování a o provedení některých dalších ustanovení zákona o ochraně ovzduší ▪  Zákon č. 477/2001 Sb. o obalech. ▪ Zákon č 59/2006 Sb. o prevenci závažných havárií. ▪ Zákon č. 167/2008 Sb. o předcházení ekologické újmě. ▪ Sdělení č.17/2011 Sb. (ADR) ▪ Sdělení č. 19/2011 Sb. (RID). Všechny předpisy je nutno aplikovat v platném znění.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Informace v tomto 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čnostním listu nezbavují uživatele vlastního posouzení rizik na pracovišti, která jsou požadována zdravotními a bezpečnostními předpisy.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15.2. Posouzení chemické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čnosti: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Posouzení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chemické bezpečnosti produktu není provedeno.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16. DALŠÍ INFORMACE: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Tento produkt obsahuje max. 400 g/l VOC.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16.1. Klí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 nebo legenda ke zkratkám: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Xn</w:t>
        <w:tab/>
        <w:t xml:space="preserve">zdraví škodlivý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Xi</w:t>
        <w:tab/>
        <w:t xml:space="preserve">dráždivý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</w:t>
        <w:tab/>
        <w:t xml:space="preserve">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čný pro životní prostředí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Flam. Liq. 2 </w:t>
        <w:tab/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řlavá kapalina, kategorie 2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Eye Irrit. 2 </w:t>
        <w:tab/>
        <w:t xml:space="preserve">vážné poškození 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 /podráždění očí, kategorie 2: 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STOT SE 3 </w:t>
        <w:tab/>
        <w:t xml:space="preserve">toxicita pro specifické cílové orgány – jednorázová expozice, kategorie 3 :                                                                                                                            </w:t>
      </w:r>
    </w:p>
    <w:p>
      <w:pPr>
        <w:tabs>
          <w:tab w:val="left" w:pos="1134" w:leader="none"/>
          <w:tab w:val="left" w:pos="161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EINECS       </w:t>
        <w:tab/>
        <w:t xml:space="preserve">Evropský seznam existujících obchodovaných chemických látek</w:t>
      </w:r>
    </w:p>
    <w:p>
      <w:pPr>
        <w:tabs>
          <w:tab w:val="left" w:pos="1134" w:leader="none"/>
          <w:tab w:val="left" w:pos="161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ELINCS</w:t>
        <w:tab/>
        <w:t xml:space="preserve">Evropský seznam oznámených chemických látek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16.2. Seznam a plné zn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ění příslušných standardních vět o nebezpečnosti a pokynů pro bezpečné zacházení: 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10</w:t>
        <w:tab/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řlavý.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21</w:t>
        <w:tab/>
        <w:t xml:space="preserve">Zdraví škodlivý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styku s kůží.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40  </w:t>
        <w:tab/>
        <w:t xml:space="preserve">Podez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ření na karcinogenní účinky.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41</w:t>
        <w:tab/>
        <w:t xml:space="preserve">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 vážného poškození očí.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43 </w:t>
        <w:tab/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vyvolat senzibilizaci při styku s kůží.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51/53</w:t>
        <w:tab/>
        <w:t xml:space="preserve">Toxický pro vodní organismy,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vyvolat dlouhodobé nepříznivé účinky ve vodním prostředí.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65 </w:t>
        <w:tab/>
        <w:t xml:space="preserve">Zdraví škodlivý,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požití může vyvolat poškození plic.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66 </w:t>
        <w:tab/>
        <w:t xml:space="preserve">Opakovaná expozice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vysušení nebo popraskání kůže.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67  </w:t>
        <w:tab/>
        <w:t xml:space="preserve">Vdechování par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ospalost a závratě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S2</w:t>
        <w:tab/>
        <w:t xml:space="preserve">Uchovávejte mimo dosah 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ětí.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S23</w:t>
        <w:tab/>
        <w:t xml:space="preserve">Nevdechujte páry/aerosoly.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S24</w:t>
        <w:tab/>
        <w:t xml:space="preserve">Zamezte styku s k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ůží.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S46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požití okamžitě vyhledejte lékařskou pomoc a ukažte obal nebo etiketu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S51</w:t>
        <w:tab/>
        <w:t xml:space="preserve">Používejte pouze v dob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 větraných prostorách.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S56</w:t>
        <w:tab/>
        <w:t xml:space="preserve">Zneškodn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ěte tento materiál a jeho obal ve sběrném místě pro zvláštní nebo nebezpečné odpady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H304  </w:t>
        <w:tab/>
        <w:t xml:space="preserve">Zdraví škodlivý,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požití může vyvolat poškození plic.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H312 </w:t>
        <w:tab/>
        <w:t xml:space="preserve">Zp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ůsobuje vážné podráždění očí.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H317  </w:t>
        <w:tab/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vyvolat senzibilizaci při styku s kůží.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H318 </w:t>
        <w:tab/>
        <w:t xml:space="preserve">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 vážného poškození očí.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H226  </w:t>
        <w:tab/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řlavá kapalina a páry.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H336 </w:t>
        <w:tab/>
        <w:t xml:space="preserve">Vdechování par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ospalost a závratě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H351  </w:t>
        <w:tab/>
        <w:t xml:space="preserve">Podez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ření na karcinogenní účinky.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H411 </w:t>
        <w:tab/>
        <w:t xml:space="preserve">Toxický pro vodní organismy,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vyvolat dlouhodobé nepříznivé účinky ve vodním prostředí.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EUH066 </w:t>
        <w:tab/>
        <w:t xml:space="preserve">Opakovaná expozice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vysušení nebo popraskání kůže.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16.3. Hodnoty pro stanovení emisních limit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(podle zákona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201/2012 Sb. o ochraně ovzduší a vyhlášky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č. 415/2012 Sb.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o přípustné úrovni znečišťování a jejím zjišťování)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694" w:leader="none"/>
          <w:tab w:val="left" w:pos="3828" w:leader="none"/>
        </w:tabs>
        <w:spacing w:before="0" w:after="0" w:line="240"/>
        <w:ind w:right="0" w:left="7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hustota</w:t>
        <w:tab/>
        <w:t xml:space="preserve">1,150 ÷ 1,250 </w:t>
        <w:tab/>
        <w:t xml:space="preserve">g/cm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  <w:vertAlign w:val="superscript"/>
        </w:rPr>
        <w:t xml:space="preserve">3</w:t>
      </w:r>
    </w:p>
    <w:p>
      <w:pPr>
        <w:tabs>
          <w:tab w:val="left" w:pos="2694" w:leader="none"/>
          <w:tab w:val="left" w:pos="3828" w:leader="none"/>
        </w:tabs>
        <w:spacing w:before="0" w:after="0" w:line="240"/>
        <w:ind w:right="0" w:left="7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obsah organického uhlíku /VOC/  </w:t>
        <w:tab/>
        <w:t xml:space="preserve">0,400 </w:t>
        <w:tab/>
        <w:t xml:space="preserve">kg/kg produktu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Tento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čnostní list odpovídá nařízení 1907/2006/ES.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Obsahuje údaje pot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řebné pro zajištění bezpečnosti a ochrany zdraví při práci a ochrany životního prostředí. Uvedené údaje odpovídají současnému stavu vědomostí a zkušeností a jsou v souladu s platnými předpisy. Nemohou být považovány za záruku vhodnosti a použitelnosti výrobku pro konkrétní aplikaci.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Odmítnutí ru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čení: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Zdroje údaj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 v tomto bezpečnostním listu považujeme za spolehlivé. Správnost informací však není zaručena.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Podmínky nebo metody manipulace, skladování, používání nebo likvidace produktu jsou mimo dosah naší kontroly a také mimo naší informa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ční oblast. Z tohoto a jiných důvodů nepřebíráme žádnou odpovědnost a odmítáme výslovně ručení za ztrátu, škody nebo vícenáklady, které mohly vzniknout z manipulace, skladování, používání nebo likvidace produktu nebo jsou s tím jakýmkoliv způsobem spojeny.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Tento 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čnostní list byl vypracován pro produkt </w:t>
      </w:r>
      <w:r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  <w:t xml:space="preserve">SPS Finess lazura krycí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 smí být používán jen s ním.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Konec dokumentu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mailto:info@spsbv.com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